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452AB" w:rsidRDefault="00043D55">
      <w:pPr>
        <w:spacing w:after="31" w:line="259" w:lineRule="auto"/>
        <w:ind w:left="0" w:right="-113" w:firstLine="0"/>
        <w:jc w:val="right"/>
      </w:pPr>
      <w:r>
        <w:rPr>
          <w:rFonts w:ascii="Calibri" w:eastAsia="Calibri" w:hAnsi="Calibri" w:cs="Calibri"/>
          <w:noProof/>
          <w:color w:val="000000"/>
          <w:sz w:val="22"/>
        </w:rPr>
        <mc:AlternateContent>
          <mc:Choice Requires="wpg">
            <w:drawing>
              <wp:inline distT="0" distB="0" distL="0" distR="0">
                <wp:extent cx="6026252" cy="4156189"/>
                <wp:effectExtent l="0" t="0" r="0" b="0"/>
                <wp:docPr id="2911" name="Group 2911"/>
                <wp:cNvGraphicFramePr/>
                <a:graphic xmlns:a="http://schemas.openxmlformats.org/drawingml/2006/main">
                  <a:graphicData uri="http://schemas.microsoft.com/office/word/2010/wordprocessingGroup">
                    <wpg:wgp>
                      <wpg:cNvGrpSpPr/>
                      <wpg:grpSpPr>
                        <a:xfrm>
                          <a:off x="0" y="0"/>
                          <a:ext cx="6026252" cy="4156189"/>
                          <a:chOff x="0" y="0"/>
                          <a:chExt cx="6026252" cy="4156189"/>
                        </a:xfrm>
                      </wpg:grpSpPr>
                      <pic:pic xmlns:pic="http://schemas.openxmlformats.org/drawingml/2006/picture">
                        <pic:nvPicPr>
                          <pic:cNvPr id="11" name="Picture 11"/>
                          <pic:cNvPicPr/>
                        </pic:nvPicPr>
                        <pic:blipFill>
                          <a:blip r:embed="rId7"/>
                          <a:stretch>
                            <a:fillRect/>
                          </a:stretch>
                        </pic:blipFill>
                        <pic:spPr>
                          <a:xfrm>
                            <a:off x="0" y="0"/>
                            <a:ext cx="5916349" cy="77505"/>
                          </a:xfrm>
                          <a:prstGeom prst="rect">
                            <a:avLst/>
                          </a:prstGeom>
                        </pic:spPr>
                      </pic:pic>
                      <pic:pic xmlns:pic="http://schemas.openxmlformats.org/drawingml/2006/picture">
                        <pic:nvPicPr>
                          <pic:cNvPr id="14" name="Picture 14"/>
                          <pic:cNvPicPr/>
                        </pic:nvPicPr>
                        <pic:blipFill>
                          <a:blip r:embed="rId8"/>
                          <a:stretch>
                            <a:fillRect/>
                          </a:stretch>
                        </pic:blipFill>
                        <pic:spPr>
                          <a:xfrm>
                            <a:off x="0" y="216014"/>
                            <a:ext cx="2518285" cy="3940175"/>
                          </a:xfrm>
                          <a:prstGeom prst="rect">
                            <a:avLst/>
                          </a:prstGeom>
                        </pic:spPr>
                      </pic:pic>
                      <wps:wsp>
                        <wps:cNvPr id="15" name="Rectangle 15"/>
                        <wps:cNvSpPr/>
                        <wps:spPr>
                          <a:xfrm>
                            <a:off x="3200400" y="427655"/>
                            <a:ext cx="3758383" cy="392419"/>
                          </a:xfrm>
                          <a:prstGeom prst="rect">
                            <a:avLst/>
                          </a:prstGeom>
                          <a:ln>
                            <a:noFill/>
                          </a:ln>
                        </wps:spPr>
                        <wps:txbx>
                          <w:txbxContent>
                            <w:p w:rsidR="00D452AB" w:rsidRDefault="00043D55">
                              <w:pPr>
                                <w:spacing w:after="160" w:line="259" w:lineRule="auto"/>
                                <w:ind w:left="0" w:firstLine="0"/>
                              </w:pPr>
                              <w:r>
                                <w:rPr>
                                  <w:b/>
                                  <w:sz w:val="52"/>
                                </w:rPr>
                                <w:t xml:space="preserve">Debunking benefits </w:t>
                              </w:r>
                            </w:p>
                          </w:txbxContent>
                        </wps:txbx>
                        <wps:bodyPr horzOverflow="overflow" vert="horz" lIns="0" tIns="0" rIns="0" bIns="0" rtlCol="0">
                          <a:noAutofit/>
                        </wps:bodyPr>
                      </wps:wsp>
                      <wps:wsp>
                        <wps:cNvPr id="16" name="Rectangle 16"/>
                        <wps:cNvSpPr/>
                        <wps:spPr>
                          <a:xfrm>
                            <a:off x="3200400" y="807346"/>
                            <a:ext cx="2622260" cy="392419"/>
                          </a:xfrm>
                          <a:prstGeom prst="rect">
                            <a:avLst/>
                          </a:prstGeom>
                          <a:ln>
                            <a:noFill/>
                          </a:ln>
                        </wps:spPr>
                        <wps:txbx>
                          <w:txbxContent>
                            <w:p w:rsidR="00D452AB" w:rsidRDefault="00043D55">
                              <w:pPr>
                                <w:spacing w:after="160" w:line="259" w:lineRule="auto"/>
                                <w:ind w:left="0" w:firstLine="0"/>
                              </w:pPr>
                              <w:r>
                                <w:rPr>
                                  <w:b/>
                                  <w:sz w:val="52"/>
                                </w:rPr>
                                <w:t xml:space="preserve">of early sport </w:t>
                              </w:r>
                            </w:p>
                          </w:txbxContent>
                        </wps:txbx>
                        <wps:bodyPr horzOverflow="overflow" vert="horz" lIns="0" tIns="0" rIns="0" bIns="0" rtlCol="0">
                          <a:noAutofit/>
                        </wps:bodyPr>
                      </wps:wsp>
                      <wps:wsp>
                        <wps:cNvPr id="17" name="Rectangle 17"/>
                        <wps:cNvSpPr/>
                        <wps:spPr>
                          <a:xfrm>
                            <a:off x="3200400" y="1187039"/>
                            <a:ext cx="3122910" cy="392419"/>
                          </a:xfrm>
                          <a:prstGeom prst="rect">
                            <a:avLst/>
                          </a:prstGeom>
                          <a:ln>
                            <a:noFill/>
                          </a:ln>
                        </wps:spPr>
                        <wps:txbx>
                          <w:txbxContent>
                            <w:p w:rsidR="00D452AB" w:rsidRDefault="00043D55">
                              <w:pPr>
                                <w:spacing w:after="160" w:line="259" w:lineRule="auto"/>
                                <w:ind w:left="0" w:firstLine="0"/>
                              </w:pPr>
                              <w:r>
                                <w:rPr>
                                  <w:b/>
                                  <w:sz w:val="52"/>
                                </w:rPr>
                                <w:t xml:space="preserve">specialization in </w:t>
                              </w:r>
                            </w:p>
                          </w:txbxContent>
                        </wps:txbx>
                        <wps:bodyPr horzOverflow="overflow" vert="horz" lIns="0" tIns="0" rIns="0" bIns="0" rtlCol="0">
                          <a:noAutofit/>
                        </wps:bodyPr>
                      </wps:wsp>
                      <wps:wsp>
                        <wps:cNvPr id="18" name="Rectangle 18"/>
                        <wps:cNvSpPr/>
                        <wps:spPr>
                          <a:xfrm>
                            <a:off x="3200400" y="1566730"/>
                            <a:ext cx="3403097" cy="392419"/>
                          </a:xfrm>
                          <a:prstGeom prst="rect">
                            <a:avLst/>
                          </a:prstGeom>
                          <a:ln>
                            <a:noFill/>
                          </a:ln>
                        </wps:spPr>
                        <wps:txbx>
                          <w:txbxContent>
                            <w:p w:rsidR="00D452AB" w:rsidRDefault="00043D55">
                              <w:pPr>
                                <w:spacing w:after="160" w:line="259" w:lineRule="auto"/>
                                <w:ind w:left="0" w:firstLine="0"/>
                              </w:pPr>
                              <w:r>
                                <w:rPr>
                                  <w:b/>
                                  <w:sz w:val="52"/>
                                </w:rPr>
                                <w:t xml:space="preserve">the youth athlete: </w:t>
                              </w:r>
                            </w:p>
                          </w:txbxContent>
                        </wps:txbx>
                        <wps:bodyPr horzOverflow="overflow" vert="horz" lIns="0" tIns="0" rIns="0" bIns="0" rtlCol="0">
                          <a:noAutofit/>
                        </wps:bodyPr>
                      </wps:wsp>
                      <wps:wsp>
                        <wps:cNvPr id="19" name="Rectangle 19"/>
                        <wps:cNvSpPr/>
                        <wps:spPr>
                          <a:xfrm>
                            <a:off x="3200400" y="1946422"/>
                            <a:ext cx="2342073" cy="392419"/>
                          </a:xfrm>
                          <a:prstGeom prst="rect">
                            <a:avLst/>
                          </a:prstGeom>
                          <a:ln>
                            <a:noFill/>
                          </a:ln>
                        </wps:spPr>
                        <wps:txbx>
                          <w:txbxContent>
                            <w:p w:rsidR="00D452AB" w:rsidRDefault="00043D55">
                              <w:pPr>
                                <w:spacing w:after="160" w:line="259" w:lineRule="auto"/>
                                <w:ind w:left="0" w:firstLine="0"/>
                              </w:pPr>
                              <w:r>
                                <w:rPr>
                                  <w:b/>
                                  <w:sz w:val="52"/>
                                </w:rPr>
                                <w:t>A case study</w:t>
                              </w:r>
                            </w:p>
                          </w:txbxContent>
                        </wps:txbx>
                        <wps:bodyPr horzOverflow="overflow" vert="horz" lIns="0" tIns="0" rIns="0" bIns="0" rtlCol="0">
                          <a:noAutofit/>
                        </wps:bodyPr>
                      </wps:wsp>
                    </wpg:wgp>
                  </a:graphicData>
                </a:graphic>
              </wp:inline>
            </w:drawing>
          </mc:Choice>
          <mc:Fallback xmlns:a="http://schemas.openxmlformats.org/drawingml/2006/main">
            <w:pict>
              <v:group id="Group 2911" style="width:474.508pt;height:327.259pt;mso-position-horizontal-relative:char;mso-position-vertical-relative:line" coordsize="60262,41561">
                <v:shape id="Picture 11" style="position:absolute;width:59163;height:775;left:0;top:0;" filled="f">
                  <v:imagedata r:id="rId9"/>
                </v:shape>
                <v:shape id="Picture 14" style="position:absolute;width:25182;height:39401;left:0;top:2160;" filled="f">
                  <v:imagedata r:id="rId10"/>
                </v:shape>
                <v:rect id="Rectangle 15" style="position:absolute;width:37583;height:3924;left:32004;top:4276;" filled="f" stroked="f">
                  <v:textbox inset="0,0,0,0">
                    <w:txbxContent>
                      <w:p>
                        <w:pPr>
                          <w:spacing w:before="0" w:after="160" w:line="259" w:lineRule="auto"/>
                          <w:ind w:left="0" w:firstLine="0"/>
                        </w:pPr>
                        <w:r>
                          <w:rPr>
                            <w:rFonts w:cs="Times New Roman" w:hAnsi="Times New Roman" w:eastAsia="Times New Roman" w:ascii="Times New Roman"/>
                            <w:b w:val="1"/>
                            <w:sz w:val="52"/>
                          </w:rPr>
                          <w:t xml:space="preserve">Debunking benefits </w:t>
                        </w:r>
                      </w:p>
                    </w:txbxContent>
                  </v:textbox>
                </v:rect>
                <v:rect id="Rectangle 16" style="position:absolute;width:26222;height:3924;left:32004;top:8073;" filled="f" stroked="f">
                  <v:textbox inset="0,0,0,0">
                    <w:txbxContent>
                      <w:p>
                        <w:pPr>
                          <w:spacing w:before="0" w:after="160" w:line="259" w:lineRule="auto"/>
                          <w:ind w:left="0" w:firstLine="0"/>
                        </w:pPr>
                        <w:r>
                          <w:rPr>
                            <w:rFonts w:cs="Times New Roman" w:hAnsi="Times New Roman" w:eastAsia="Times New Roman" w:ascii="Times New Roman"/>
                            <w:b w:val="1"/>
                            <w:sz w:val="52"/>
                          </w:rPr>
                          <w:t xml:space="preserve">of early sport </w:t>
                        </w:r>
                      </w:p>
                    </w:txbxContent>
                  </v:textbox>
                </v:rect>
                <v:rect id="Rectangle 17" style="position:absolute;width:31229;height:3924;left:32004;top:11870;" filled="f" stroked="f">
                  <v:textbox inset="0,0,0,0">
                    <w:txbxContent>
                      <w:p>
                        <w:pPr>
                          <w:spacing w:before="0" w:after="160" w:line="259" w:lineRule="auto"/>
                          <w:ind w:left="0" w:firstLine="0"/>
                        </w:pPr>
                        <w:r>
                          <w:rPr>
                            <w:rFonts w:cs="Times New Roman" w:hAnsi="Times New Roman" w:eastAsia="Times New Roman" w:ascii="Times New Roman"/>
                            <w:b w:val="1"/>
                            <w:sz w:val="52"/>
                          </w:rPr>
                          <w:t xml:space="preserve">specialization in </w:t>
                        </w:r>
                      </w:p>
                    </w:txbxContent>
                  </v:textbox>
                </v:rect>
                <v:rect id="Rectangle 18" style="position:absolute;width:34030;height:3924;left:32004;top:15667;" filled="f" stroked="f">
                  <v:textbox inset="0,0,0,0">
                    <w:txbxContent>
                      <w:p>
                        <w:pPr>
                          <w:spacing w:before="0" w:after="160" w:line="259" w:lineRule="auto"/>
                          <w:ind w:left="0" w:firstLine="0"/>
                        </w:pPr>
                        <w:r>
                          <w:rPr>
                            <w:rFonts w:cs="Times New Roman" w:hAnsi="Times New Roman" w:eastAsia="Times New Roman" w:ascii="Times New Roman"/>
                            <w:b w:val="1"/>
                            <w:sz w:val="52"/>
                          </w:rPr>
                          <w:t xml:space="preserve">the youth athlete: </w:t>
                        </w:r>
                      </w:p>
                    </w:txbxContent>
                  </v:textbox>
                </v:rect>
                <v:rect id="Rectangle 19" style="position:absolute;width:23420;height:3924;left:32004;top:19464;" filled="f" stroked="f">
                  <v:textbox inset="0,0,0,0">
                    <w:txbxContent>
                      <w:p>
                        <w:pPr>
                          <w:spacing w:before="0" w:after="160" w:line="259" w:lineRule="auto"/>
                          <w:ind w:left="0" w:firstLine="0"/>
                        </w:pPr>
                        <w:r>
                          <w:rPr>
                            <w:rFonts w:cs="Times New Roman" w:hAnsi="Times New Roman" w:eastAsia="Times New Roman" w:ascii="Times New Roman"/>
                            <w:b w:val="1"/>
                            <w:sz w:val="52"/>
                          </w:rPr>
                          <w:t xml:space="preserve">A case study</w:t>
                        </w:r>
                      </w:p>
                    </w:txbxContent>
                  </v:textbox>
                </v:rect>
              </v:group>
            </w:pict>
          </mc:Fallback>
        </mc:AlternateContent>
      </w:r>
      <w:r>
        <w:t xml:space="preserve"> </w:t>
      </w:r>
    </w:p>
    <w:p w:rsidR="00D452AB" w:rsidRDefault="00043D55">
      <w:pPr>
        <w:spacing w:after="4556"/>
        <w:ind w:left="-5" w:right="13"/>
      </w:pPr>
      <w:r>
        <w:t>(Shapiro, 2017)</w:t>
      </w:r>
    </w:p>
    <w:p w:rsidR="00D452AB" w:rsidRDefault="00043D55">
      <w:pPr>
        <w:spacing w:after="56" w:line="245" w:lineRule="auto"/>
        <w:ind w:left="0" w:right="6302" w:firstLine="0"/>
      </w:pPr>
      <w:bookmarkStart w:id="0" w:name="_GoBack"/>
      <w:bookmarkEnd w:id="0"/>
      <w:r>
        <w:rPr>
          <w:sz w:val="28"/>
        </w:rPr>
        <w:t>KNSISM 4615</w:t>
      </w:r>
    </w:p>
    <w:p w:rsidR="00D452AB" w:rsidRDefault="00043D55">
      <w:pPr>
        <w:spacing w:after="36" w:line="259" w:lineRule="auto"/>
        <w:ind w:left="-5"/>
      </w:pPr>
      <w:r>
        <w:rPr>
          <w:sz w:val="28"/>
        </w:rPr>
        <w:t>Individual Case Study</w:t>
      </w:r>
    </w:p>
    <w:p w:rsidR="00D452AB" w:rsidRDefault="00043D55">
      <w:pPr>
        <w:spacing w:after="36" w:line="259" w:lineRule="auto"/>
        <w:ind w:left="-5"/>
      </w:pPr>
      <w:r>
        <w:rPr>
          <w:sz w:val="28"/>
        </w:rPr>
        <w:t>April 12, 2020</w:t>
      </w:r>
    </w:p>
    <w:p w:rsidR="00D452AB" w:rsidRDefault="00043D55">
      <w:pPr>
        <w:pStyle w:val="Heading1"/>
        <w:ind w:left="-5"/>
      </w:pPr>
      <w:r>
        <w:lastRenderedPageBreak/>
        <w:t>Background</w:t>
      </w:r>
    </w:p>
    <w:p w:rsidR="00D452AB" w:rsidRDefault="00043D55">
      <w:pPr>
        <w:spacing w:after="0" w:line="476" w:lineRule="auto"/>
        <w:ind w:left="-15" w:right="13" w:firstLine="720"/>
      </w:pPr>
      <w:r>
        <w:t>Early sport specialization (ESS) is commonly referred to as the “intense year round training in a specific sport with the exclusion of other sports at a young age” (Ferguson &amp; Stern, 2014). This definition can leave much to interpretation, depending on the</w:t>
      </w:r>
      <w:r>
        <w:t xml:space="preserve"> researcher or sports medicine professional that you enlist for information. What that intensity level looks like in terms of programming and time, and what age it begins at varies depending on the athlete, region, and most often the sport. For example, ea</w:t>
      </w:r>
      <w:r>
        <w:t>rly-entry sports, such as gymnastics, figure skating and diving are known for demanding year-round focused training at a much earlier age (pre-maturation/puberty) than football, baseball or basketball (</w:t>
      </w:r>
      <w:proofErr w:type="spellStart"/>
      <w:r>
        <w:t>DiFiori</w:t>
      </w:r>
      <w:proofErr w:type="spellEnd"/>
      <w:r>
        <w:t xml:space="preserve"> et al., 2019). But, according to Ferguson and </w:t>
      </w:r>
      <w:r>
        <w:t>Stern (2014), there are several typical aspects of ESS, which most research points to as common themes, as expressed in Figure 1, as shown below.</w:t>
      </w:r>
    </w:p>
    <w:p w:rsidR="00D452AB" w:rsidRDefault="00043D55">
      <w:pPr>
        <w:spacing w:after="454" w:line="259" w:lineRule="auto"/>
        <w:ind w:left="0" w:firstLine="0"/>
      </w:pPr>
      <w:r>
        <w:rPr>
          <w:noProof/>
        </w:rPr>
        <w:drawing>
          <wp:inline distT="0" distB="0" distL="0" distR="0">
            <wp:extent cx="3380370" cy="2038350"/>
            <wp:effectExtent l="0" t="0" r="0" b="0"/>
            <wp:docPr id="49" name="Pictu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11"/>
                    <a:stretch>
                      <a:fillRect/>
                    </a:stretch>
                  </pic:blipFill>
                  <pic:spPr>
                    <a:xfrm>
                      <a:off x="0" y="0"/>
                      <a:ext cx="3380370" cy="2038350"/>
                    </a:xfrm>
                    <a:prstGeom prst="rect">
                      <a:avLst/>
                    </a:prstGeom>
                  </pic:spPr>
                </pic:pic>
              </a:graphicData>
            </a:graphic>
          </wp:inline>
        </w:drawing>
      </w:r>
    </w:p>
    <w:p w:rsidR="00D452AB" w:rsidRDefault="00043D55">
      <w:pPr>
        <w:spacing w:after="0" w:line="476" w:lineRule="auto"/>
        <w:ind w:left="-15" w:right="13" w:firstLine="720"/>
      </w:pPr>
      <w:r>
        <w:t>Sports diversification swings to the other end of the spectrum, promoting optimal athletic development throu</w:t>
      </w:r>
      <w:r>
        <w:t>gh generalized physical training, across many different sports, throughout one’s youth and adolescence. The idea here is that motor skills (agility, balance, coordination, power, reaction time and speed), character skills (gratitude, respect, hard work, em</w:t>
      </w:r>
      <w:r>
        <w:t xml:space="preserve">pathy, healthy communication with others, how to lead, how to follow, how to take instruction, how to critically </w:t>
      </w:r>
      <w:r>
        <w:lastRenderedPageBreak/>
        <w:t>think, the ability to keep a proactive attitude), fitness and strategy obtained on a broader level can be translated to any other sport (</w:t>
      </w:r>
      <w:r>
        <w:rPr>
          <w:i/>
        </w:rPr>
        <w:t xml:space="preserve">Steph </w:t>
      </w:r>
      <w:r>
        <w:rPr>
          <w:i/>
        </w:rPr>
        <w:t>Curry &amp; Fear-Driven Early Sport Specialization</w:t>
      </w:r>
      <w:r>
        <w:t>, n.d.) – and that pleasure, satisfaction and inherent motivation are equally weighed in the athlete’s decision to participate (</w:t>
      </w:r>
      <w:proofErr w:type="spellStart"/>
      <w:r>
        <w:t>Bodey</w:t>
      </w:r>
      <w:proofErr w:type="spellEnd"/>
      <w:r>
        <w:t xml:space="preserve"> et al., 2013). </w:t>
      </w:r>
    </w:p>
    <w:p w:rsidR="00D452AB" w:rsidRDefault="00043D55">
      <w:pPr>
        <w:spacing w:after="0" w:line="476" w:lineRule="auto"/>
        <w:ind w:left="-15" w:right="13" w:firstLine="720"/>
      </w:pPr>
      <w:r>
        <w:t>In recent years, there has been a major movement towards ESS</w:t>
      </w:r>
      <w:r>
        <w:t xml:space="preserve"> in all sports. Parents of youth athletes have been conditioned to believe that if their child wants the chance at opportunities like, making the most competitive club team; starring on their high school team; being recruited and awarded a scholarship to a</w:t>
      </w:r>
      <w:r>
        <w:t xml:space="preserve"> college team; and even potentially competing professionally, that they must specialize early or be left behind. </w:t>
      </w:r>
      <w:proofErr w:type="spellStart"/>
      <w:r>
        <w:t>Bodey</w:t>
      </w:r>
      <w:proofErr w:type="spellEnd"/>
      <w:r>
        <w:t xml:space="preserve"> et al. (2013) refers to this as the “pipeline”, a fleeting conduit to success that parents can feel pressured to buy-in to, demonstrating</w:t>
      </w:r>
      <w:r>
        <w:t xml:space="preserve"> their support and investment in their child’s future. But growing research is debunking the sacred myth that ESS is the key to athletic success. Researchers, medical professionals, and even elite athletes themselves, are beginning to illuminate the danger</w:t>
      </w:r>
      <w:r>
        <w:t>s of sport specialization and its specific effects on the mental, physical and social well-being of the athlete. This case study will present the supporting peer-reviewed research on those points, as well as a case study of Wardell Stephen "Steph" Curry II</w:t>
      </w:r>
      <w:r>
        <w:t>, an American Professional Basketball player, who has made it to the most elite level of his game, and who believes ESS is “fear-driven”, predatory, and often unnecessary (</w:t>
      </w:r>
      <w:r>
        <w:rPr>
          <w:i/>
        </w:rPr>
        <w:t>Steph Curry &amp; Fear-Driven Early Sport Specialization</w:t>
      </w:r>
      <w:r>
        <w:t xml:space="preserve">, n.d.). </w:t>
      </w:r>
    </w:p>
    <w:p w:rsidR="00D452AB" w:rsidRDefault="00043D55">
      <w:pPr>
        <w:pStyle w:val="Heading1"/>
        <w:spacing w:after="246"/>
        <w:ind w:left="-5"/>
      </w:pPr>
      <w:r>
        <w:t>Case</w:t>
      </w:r>
    </w:p>
    <w:p w:rsidR="00D452AB" w:rsidRDefault="00043D55">
      <w:pPr>
        <w:ind w:left="730" w:right="13"/>
      </w:pPr>
      <w:r>
        <w:t xml:space="preserve">Steph Curry is a </w:t>
      </w:r>
      <w:r>
        <w:t xml:space="preserve">six-time National Basketball Association (NBA) All-Star, two-time </w:t>
      </w:r>
    </w:p>
    <w:p w:rsidR="00D452AB" w:rsidRDefault="00043D55">
      <w:pPr>
        <w:spacing w:after="0" w:line="476" w:lineRule="auto"/>
        <w:ind w:left="-5" w:right="13"/>
      </w:pPr>
      <w:r>
        <w:t>NBA Most Valuable Player, and a three-time NBA Champion with the Golden State Warriors (</w:t>
      </w:r>
      <w:r>
        <w:rPr>
          <w:i/>
        </w:rPr>
        <w:t>Stephen Curry Biography</w:t>
      </w:r>
      <w:r>
        <w:t>, n.d.). While he had the legacy of his veteran professional basketball father</w:t>
      </w:r>
      <w:r>
        <w:t xml:space="preserve"> (Dell Curry, Charlotte Hornets) to live up to, Steph Curry did not specialize in basketball </w:t>
      </w:r>
      <w:r>
        <w:lastRenderedPageBreak/>
        <w:t>early-on. In fact, he didn’t specialize at all – not until college. In a 2016 Wall Street Journal article, titled, “The Stephen Curry Approach to Youth Sports”, au</w:t>
      </w:r>
      <w:r>
        <w:t xml:space="preserve">thor Ben Cohen reveals the flipside to “hyper-specialization” that has become so popular among coaches, trainers, clubs, parents and athletes. Steph Curry, regarded as the best shooter alive, “played basketball, but he also played some baseball, football, </w:t>
      </w:r>
      <w:r>
        <w:t>soccer and basically everything else in a sports buffet. What worked for Curry, experts say, could work for everyone” (Cohen, 2016). Curry’s parents didn’t limit him to basketball, nor did they enforce playing year-round. And even after Curry earned a scho</w:t>
      </w:r>
      <w:r>
        <w:t>larship to Davidson College, he and his parents still weren’t sure if the NBA was in his future – but there is one thing they all knew for sure, Curry loved playing basketball, and that love for the game is a stronger indicator of long-term athletic succes</w:t>
      </w:r>
      <w:r>
        <w:t xml:space="preserve">s than any ESS indoctrination could be. </w:t>
      </w:r>
    </w:p>
    <w:p w:rsidR="00D452AB" w:rsidRDefault="00043D55">
      <w:pPr>
        <w:pStyle w:val="Heading1"/>
        <w:spacing w:after="246"/>
        <w:ind w:left="-5"/>
      </w:pPr>
      <w:r>
        <w:t>Principle Issues/Problems/Questions</w:t>
      </w:r>
    </w:p>
    <w:p w:rsidR="00D452AB" w:rsidRDefault="00043D55">
      <w:pPr>
        <w:spacing w:after="167" w:line="476" w:lineRule="auto"/>
        <w:ind w:left="-15" w:right="13" w:firstLine="720"/>
      </w:pPr>
      <w:r>
        <w:t>While parents are accustomed to hearing the positive outcomes of ESS, such as the accessibility to the success “pipeline” discussed earlier, they are not often privy to the issues</w:t>
      </w:r>
      <w:r>
        <w:t xml:space="preserve"> and potentially dangerous consequences of sport specialization. The following are a list of </w:t>
      </w:r>
      <w:proofErr w:type="spellStart"/>
      <w:r>
        <w:t>ESSrelated</w:t>
      </w:r>
      <w:proofErr w:type="spellEnd"/>
      <w:r>
        <w:t xml:space="preserve"> problems presented by Indiana State University Professor Kimberly </w:t>
      </w:r>
      <w:proofErr w:type="spellStart"/>
      <w:r>
        <w:t>Bodey</w:t>
      </w:r>
      <w:proofErr w:type="spellEnd"/>
      <w:r>
        <w:t xml:space="preserve"> and her coauthors (2013), in an effort to frame conversations between parents an</w:t>
      </w:r>
      <w:r>
        <w:t>d coaches, in order educate on the ramifications of ESS:</w:t>
      </w:r>
    </w:p>
    <w:p w:rsidR="00D452AB" w:rsidRDefault="00043D55">
      <w:pPr>
        <w:numPr>
          <w:ilvl w:val="0"/>
          <w:numId w:val="1"/>
        </w:numPr>
        <w:ind w:right="13" w:hanging="360"/>
      </w:pPr>
      <w:r>
        <w:t>Varying physiological maturation causes misidentification of sport/position</w:t>
      </w:r>
    </w:p>
    <w:p w:rsidR="00D452AB" w:rsidRDefault="00043D55">
      <w:pPr>
        <w:numPr>
          <w:ilvl w:val="0"/>
          <w:numId w:val="1"/>
        </w:numPr>
        <w:ind w:right="13" w:hanging="360"/>
      </w:pPr>
      <w:r>
        <w:t>Overuse-type injuries during rapid growth phases</w:t>
      </w:r>
    </w:p>
    <w:p w:rsidR="00D452AB" w:rsidRDefault="00043D55">
      <w:pPr>
        <w:numPr>
          <w:ilvl w:val="0"/>
          <w:numId w:val="1"/>
        </w:numPr>
        <w:ind w:right="13" w:hanging="360"/>
      </w:pPr>
      <w:r>
        <w:t>Negative psychological effects and high “burnout” rate</w:t>
      </w:r>
    </w:p>
    <w:p w:rsidR="00D452AB" w:rsidRDefault="00043D55">
      <w:pPr>
        <w:numPr>
          <w:ilvl w:val="0"/>
          <w:numId w:val="1"/>
        </w:numPr>
        <w:ind w:right="13" w:hanging="360"/>
      </w:pPr>
      <w:r>
        <w:t>Parent versus athle</w:t>
      </w:r>
      <w:r>
        <w:t>te desire/motivation</w:t>
      </w:r>
    </w:p>
    <w:p w:rsidR="00D452AB" w:rsidRDefault="00043D55">
      <w:pPr>
        <w:numPr>
          <w:ilvl w:val="0"/>
          <w:numId w:val="1"/>
        </w:numPr>
        <w:ind w:right="13" w:hanging="360"/>
      </w:pPr>
      <w:r>
        <w:t>Social isolation and diversification guilt</w:t>
      </w:r>
    </w:p>
    <w:p w:rsidR="00D452AB" w:rsidRDefault="00043D55">
      <w:pPr>
        <w:numPr>
          <w:ilvl w:val="0"/>
          <w:numId w:val="1"/>
        </w:numPr>
        <w:ind w:right="13" w:hanging="360"/>
      </w:pPr>
      <w:r>
        <w:lastRenderedPageBreak/>
        <w:t>Family disruption and financial strain, (p. 4-6)</w:t>
      </w:r>
    </w:p>
    <w:p w:rsidR="00D452AB" w:rsidRDefault="00043D55">
      <w:pPr>
        <w:spacing w:after="120" w:line="476" w:lineRule="auto"/>
        <w:ind w:left="-5" w:right="13"/>
      </w:pPr>
      <w:r>
        <w:t>Each of the above risk factors should be weighed in an individual’s elite athletics pursuits, especially when one takes in to account that the estimated probability of transitioning from high school sports to competing in NCAA college athletics is fraction</w:t>
      </w:r>
      <w:r>
        <w:t xml:space="preserve">al. In the case of basketball, only 3.4% of male and 4.0% of female high school players went on to play at NCAA- affiliated college or university programs (smeyers@ncaa.org, 2015). </w:t>
      </w:r>
    </w:p>
    <w:p w:rsidR="00D452AB" w:rsidRDefault="00043D55">
      <w:pPr>
        <w:pStyle w:val="Heading1"/>
        <w:ind w:left="-5"/>
      </w:pPr>
      <w:r>
        <w:t>Proposed Solutions</w:t>
      </w:r>
    </w:p>
    <w:p w:rsidR="00D452AB" w:rsidRDefault="00043D55">
      <w:pPr>
        <w:spacing w:line="476" w:lineRule="auto"/>
        <w:ind w:left="-15" w:right="13" w:firstLine="720"/>
      </w:pPr>
      <w:r>
        <w:t xml:space="preserve">The Canadian organization, Sport For Life, has created </w:t>
      </w:r>
      <w:r>
        <w:t xml:space="preserve">a highly researched report titled, “Long Term Development in Sport and Physical Activity: 3.0”. This document, which evolved from the “Canadian Sport for Life–Long-Term Athlete Development” plan, serves as the most recent, comprehensive “framework for the </w:t>
      </w:r>
      <w:r>
        <w:t>development of every child, youth, and adult to enable optimal participation in sport and physical activity. It takes into account growth, maturation and development, trainability, and sport system alignment.” (Sport For Life, 2019). Sport For Life identif</w:t>
      </w:r>
      <w:r>
        <w:t>ies 3 Key Factors (or 3 main thrusts) in the Long-Term Development Framework: 1. The Individual (Personal Factors); 2. The Sport/Activity (Organizational Factors); and 3. The Institution/State/Country/etc. (System Factors), (p. 16-19). When these 3 Key Fac</w:t>
      </w:r>
      <w:r>
        <w:t>tor categories, and their detailed elements, are considered in concert, only then can a truly holistic approach to athlete development take place. For example, “Personal Factors” are those that parents, coaches and instructors can monitor and plan for – su</w:t>
      </w:r>
      <w:r>
        <w:t>ch as: physical literary, quality environments, developmental age, sensitive periods, predisposition, excellence takes time, and for life appreciation (Sport For Life, 2019). While “Organizational Factors” would be addressed by sport and recreation organiz</w:t>
      </w:r>
      <w:r>
        <w:t>ations and “System Factors” by policy-makers and reform leaders.</w:t>
      </w:r>
    </w:p>
    <w:p w:rsidR="00D452AB" w:rsidRDefault="00043D55">
      <w:pPr>
        <w:pStyle w:val="Heading1"/>
        <w:ind w:left="-5"/>
      </w:pPr>
      <w:r>
        <w:lastRenderedPageBreak/>
        <w:t>Ethical Considerations</w:t>
      </w:r>
    </w:p>
    <w:p w:rsidR="00D452AB" w:rsidRDefault="00043D55">
      <w:pPr>
        <w:spacing w:line="476" w:lineRule="auto"/>
        <w:ind w:left="-15" w:right="13" w:firstLine="720"/>
      </w:pPr>
      <w:r>
        <w:t>Many external stakeholders (non-athletes) stand to benefit from ESS. Club/travel teams, athletic membership organizations, trainers, coaches and training facilities (just to name a few) have made a lucrative business out of young athletes and their financi</w:t>
      </w:r>
      <w:r>
        <w:t>al backers (typically parents) trying to gain a competitive edge through sport specialization. While it isn’t unethical to provide a quality service for a sharp fee, these athletic “add-ons” can quickly lean towards predatory when false or exaggerated resu</w:t>
      </w:r>
      <w:r>
        <w:t>lts are promised. Parents of young athletes have been placed in a more taxing situation than ever before – they are working more hours, driving longer distances to practices/competitions, paying higher participation and tournament fees, and overall being b</w:t>
      </w:r>
      <w:r>
        <w:t>ombarded with the latest and greatest camp, piece of equipment, or regiment that is going to make their child the next [insert your favorite professional athlete’s name here]. The onus lies with the parent to have early and frequent conversations with thei</w:t>
      </w:r>
      <w:r>
        <w:t>r athlete, doctors and coaches, ensuring that any athletic pursuit is not at the expense of their child’s physical or mental health. Through the transparency of emerging medical reports on the dangers and non-necessity of ESS, as well as role models like S</w:t>
      </w:r>
      <w:r>
        <w:t xml:space="preserve">teph Curry speaking to alternative paths, these discussion should become easier to broach, leading to a greater wellness of youth and adolescent athletes at every stage and expertise level of sport.    </w:t>
      </w:r>
    </w:p>
    <w:p w:rsidR="00D452AB" w:rsidRDefault="00043D55">
      <w:pPr>
        <w:spacing w:after="154"/>
        <w:ind w:left="-5" w:right="13"/>
      </w:pPr>
      <w:r>
        <w:t>References</w:t>
      </w:r>
    </w:p>
    <w:p w:rsidR="00D452AB" w:rsidRDefault="00043D55">
      <w:pPr>
        <w:spacing w:after="225"/>
        <w:ind w:left="-5"/>
      </w:pPr>
      <w:proofErr w:type="spellStart"/>
      <w:r>
        <w:rPr>
          <w:sz w:val="22"/>
        </w:rPr>
        <w:t>Bodey</w:t>
      </w:r>
      <w:proofErr w:type="spellEnd"/>
      <w:r>
        <w:rPr>
          <w:sz w:val="22"/>
        </w:rPr>
        <w:t>, K. J., Judge, L. W., &amp; Hoover, J. V</w:t>
      </w:r>
      <w:r>
        <w:rPr>
          <w:sz w:val="22"/>
        </w:rPr>
        <w:t xml:space="preserve">. (2013). Specialization in Youth Sport: What Coaches Should </w:t>
      </w:r>
    </w:p>
    <w:p w:rsidR="00D452AB" w:rsidRDefault="00043D55">
      <w:pPr>
        <w:spacing w:after="345"/>
        <w:ind w:left="730"/>
      </w:pPr>
      <w:r>
        <w:rPr>
          <w:sz w:val="22"/>
        </w:rPr>
        <w:t xml:space="preserve">Tell Parents. </w:t>
      </w:r>
      <w:r>
        <w:rPr>
          <w:i/>
          <w:sz w:val="22"/>
        </w:rPr>
        <w:t>Strategies</w:t>
      </w:r>
      <w:r>
        <w:rPr>
          <w:sz w:val="22"/>
        </w:rPr>
        <w:t xml:space="preserve">, </w:t>
      </w:r>
      <w:r>
        <w:rPr>
          <w:i/>
          <w:sz w:val="22"/>
        </w:rPr>
        <w:t>26</w:t>
      </w:r>
      <w:r>
        <w:rPr>
          <w:sz w:val="22"/>
        </w:rPr>
        <w:t>(1), 3–7. https://doi.org/10.1080/08924562.2012.749160</w:t>
      </w:r>
    </w:p>
    <w:p w:rsidR="00D452AB" w:rsidRDefault="00043D55">
      <w:pPr>
        <w:spacing w:after="225"/>
        <w:ind w:left="-5"/>
      </w:pPr>
      <w:r>
        <w:rPr>
          <w:sz w:val="22"/>
        </w:rPr>
        <w:t xml:space="preserve">Cohen, B. (2016, May 17). The Stephen Curry Approach to Youth Sports. </w:t>
      </w:r>
      <w:r>
        <w:rPr>
          <w:i/>
          <w:sz w:val="22"/>
        </w:rPr>
        <w:t>Wall Street Journal</w:t>
      </w:r>
      <w:r>
        <w:rPr>
          <w:sz w:val="22"/>
        </w:rPr>
        <w:t xml:space="preserve">. </w:t>
      </w:r>
    </w:p>
    <w:p w:rsidR="00D452AB" w:rsidRDefault="00043D55">
      <w:pPr>
        <w:spacing w:after="345"/>
        <w:ind w:left="730"/>
      </w:pPr>
      <w:r>
        <w:rPr>
          <w:sz w:val="22"/>
        </w:rPr>
        <w:t>https://www.wsj.com</w:t>
      </w:r>
      <w:r>
        <w:rPr>
          <w:sz w:val="22"/>
        </w:rPr>
        <w:t>/articles/the-stephen-curry-approach-to-youth-sports-1463526612</w:t>
      </w:r>
    </w:p>
    <w:p w:rsidR="00D452AB" w:rsidRDefault="00043D55">
      <w:pPr>
        <w:spacing w:after="120" w:line="476" w:lineRule="auto"/>
        <w:ind w:left="705" w:hanging="720"/>
      </w:pPr>
      <w:proofErr w:type="spellStart"/>
      <w:r>
        <w:rPr>
          <w:sz w:val="22"/>
        </w:rPr>
        <w:lastRenderedPageBreak/>
        <w:t>DiFiori</w:t>
      </w:r>
      <w:proofErr w:type="spellEnd"/>
      <w:r>
        <w:rPr>
          <w:sz w:val="22"/>
        </w:rPr>
        <w:t xml:space="preserve">, J. P., </w:t>
      </w:r>
      <w:proofErr w:type="spellStart"/>
      <w:r>
        <w:rPr>
          <w:sz w:val="22"/>
        </w:rPr>
        <w:t>Quitiquit</w:t>
      </w:r>
      <w:proofErr w:type="spellEnd"/>
      <w:r>
        <w:rPr>
          <w:sz w:val="22"/>
        </w:rPr>
        <w:t xml:space="preserve">, C., Gray, A., </w:t>
      </w:r>
      <w:proofErr w:type="spellStart"/>
      <w:r>
        <w:rPr>
          <w:sz w:val="22"/>
        </w:rPr>
        <w:t>Kimlin</w:t>
      </w:r>
      <w:proofErr w:type="spellEnd"/>
      <w:r>
        <w:rPr>
          <w:sz w:val="22"/>
        </w:rPr>
        <w:t xml:space="preserve">, E. J., &amp; Baker, R. (2019). Early Single Sport Specialization in a High-Achieving US Athlete Population: Comparing National Collegiate Athletic </w:t>
      </w:r>
      <w:r>
        <w:rPr>
          <w:sz w:val="22"/>
        </w:rPr>
        <w:t xml:space="preserve">Association Student-Athletes and Undergraduate Students. </w:t>
      </w:r>
      <w:r>
        <w:rPr>
          <w:i/>
          <w:sz w:val="22"/>
        </w:rPr>
        <w:t>Journal of Athletic Training (Allen Press)</w:t>
      </w:r>
      <w:r>
        <w:rPr>
          <w:sz w:val="22"/>
        </w:rPr>
        <w:t xml:space="preserve">, </w:t>
      </w:r>
      <w:r>
        <w:rPr>
          <w:i/>
          <w:sz w:val="22"/>
        </w:rPr>
        <w:t>54</w:t>
      </w:r>
      <w:r>
        <w:rPr>
          <w:sz w:val="22"/>
        </w:rPr>
        <w:t>(10), 1050–1054.</w:t>
      </w:r>
    </w:p>
    <w:p w:rsidR="00D452AB" w:rsidRDefault="00043D55">
      <w:pPr>
        <w:spacing w:after="120" w:line="476" w:lineRule="auto"/>
        <w:ind w:left="705" w:hanging="720"/>
      </w:pPr>
      <w:r>
        <w:rPr>
          <w:sz w:val="22"/>
        </w:rPr>
        <w:t xml:space="preserve">Ferguson, B., &amp; Stern, P. J. (2014). A case of early sports specialization in an adolescent athlete. </w:t>
      </w:r>
      <w:r>
        <w:rPr>
          <w:i/>
          <w:sz w:val="22"/>
        </w:rPr>
        <w:t>Journal of the Canadian Chiropracti</w:t>
      </w:r>
      <w:r>
        <w:rPr>
          <w:i/>
          <w:sz w:val="22"/>
        </w:rPr>
        <w:t>c Association</w:t>
      </w:r>
      <w:r>
        <w:rPr>
          <w:sz w:val="22"/>
        </w:rPr>
        <w:t xml:space="preserve">, </w:t>
      </w:r>
      <w:r>
        <w:rPr>
          <w:i/>
          <w:sz w:val="22"/>
        </w:rPr>
        <w:t>58</w:t>
      </w:r>
      <w:r>
        <w:rPr>
          <w:sz w:val="22"/>
        </w:rPr>
        <w:t>(4), 377–383.</w:t>
      </w:r>
    </w:p>
    <w:p w:rsidR="00D452AB" w:rsidRDefault="00043D55">
      <w:pPr>
        <w:spacing w:after="0" w:line="477" w:lineRule="auto"/>
        <w:ind w:left="705" w:hanging="720"/>
      </w:pPr>
      <w:r>
        <w:rPr>
          <w:sz w:val="22"/>
        </w:rPr>
        <w:t xml:space="preserve">Shapiro, D. (2017, June 5). </w:t>
      </w:r>
      <w:r>
        <w:rPr>
          <w:i/>
          <w:sz w:val="22"/>
        </w:rPr>
        <w:t>Multi-sport athletes say diversifying helps them avoid mental, physical tolls of specialization</w:t>
      </w:r>
      <w:r>
        <w:rPr>
          <w:sz w:val="22"/>
        </w:rPr>
        <w:t xml:space="preserve">. Beaumont Enterprise. </w:t>
      </w:r>
    </w:p>
    <w:p w:rsidR="00D452AB" w:rsidRDefault="00043D55">
      <w:pPr>
        <w:spacing w:after="120" w:line="476" w:lineRule="auto"/>
        <w:ind w:left="730"/>
      </w:pPr>
      <w:r>
        <w:rPr>
          <w:sz w:val="22"/>
        </w:rPr>
        <w:t>https://www.beaumontenterprise.com/sports/hs/article/Multi-sport-athletes-say-</w:t>
      </w:r>
      <w:r>
        <w:rPr>
          <w:sz w:val="22"/>
        </w:rPr>
        <w:t>diversifyinghelps-them-11196851.php</w:t>
      </w:r>
    </w:p>
    <w:p w:rsidR="00D452AB" w:rsidRDefault="00043D55">
      <w:pPr>
        <w:spacing w:after="231" w:line="259" w:lineRule="auto"/>
        <w:ind w:left="-5"/>
      </w:pPr>
      <w:r>
        <w:rPr>
          <w:sz w:val="22"/>
        </w:rPr>
        <w:t xml:space="preserve">smeyers@ncaa.org. (2015, March 2). </w:t>
      </w:r>
      <w:r>
        <w:rPr>
          <w:i/>
          <w:sz w:val="22"/>
        </w:rPr>
        <w:t>Estimated probability of competing in college athletics</w:t>
      </w:r>
      <w:r>
        <w:rPr>
          <w:sz w:val="22"/>
        </w:rPr>
        <w:t xml:space="preserve"> [Text]. </w:t>
      </w:r>
    </w:p>
    <w:p w:rsidR="00D452AB" w:rsidRDefault="00043D55">
      <w:pPr>
        <w:spacing w:after="120" w:line="476" w:lineRule="auto"/>
        <w:ind w:left="730"/>
      </w:pPr>
      <w:r>
        <w:rPr>
          <w:sz w:val="22"/>
        </w:rPr>
        <w:t>NCAA.Org - The Official Site of the NCAA. http://www.ncaa.org/about/resources/research/estimated-probability-competing-college-athletics</w:t>
      </w:r>
    </w:p>
    <w:p w:rsidR="00D452AB" w:rsidRDefault="00043D55">
      <w:pPr>
        <w:spacing w:after="231" w:line="259" w:lineRule="auto"/>
        <w:ind w:left="-5"/>
      </w:pPr>
      <w:r>
        <w:rPr>
          <w:sz w:val="22"/>
        </w:rPr>
        <w:t xml:space="preserve">Sport For Life. (2019). </w:t>
      </w:r>
      <w:r>
        <w:rPr>
          <w:i/>
          <w:sz w:val="22"/>
        </w:rPr>
        <w:t>LONG-TERM DEVELOPMENT IN SPORT AND PHYSICAL ACTIVITY 3.0</w:t>
      </w:r>
      <w:r>
        <w:rPr>
          <w:sz w:val="22"/>
        </w:rPr>
        <w:t xml:space="preserve">. </w:t>
      </w:r>
    </w:p>
    <w:p w:rsidR="00D452AB" w:rsidRDefault="00043D55">
      <w:pPr>
        <w:spacing w:after="225"/>
        <w:ind w:left="730"/>
      </w:pPr>
      <w:r>
        <w:rPr>
          <w:sz w:val="22"/>
        </w:rPr>
        <w:t>https://sportforlife.ca/wp-content/u</w:t>
      </w:r>
      <w:r>
        <w:rPr>
          <w:sz w:val="22"/>
        </w:rPr>
        <w:t>ploads/2019/06/Long-Term-Development-in-Sport-and-</w:t>
      </w:r>
    </w:p>
    <w:p w:rsidR="00D452AB" w:rsidRDefault="00043D55">
      <w:pPr>
        <w:spacing w:after="345"/>
        <w:ind w:left="730"/>
      </w:pPr>
      <w:r>
        <w:rPr>
          <w:sz w:val="22"/>
        </w:rPr>
        <w:t>Physical-Activity-3.0.pdf</w:t>
      </w:r>
    </w:p>
    <w:p w:rsidR="00D452AB" w:rsidRDefault="00043D55">
      <w:pPr>
        <w:spacing w:after="120" w:line="476" w:lineRule="auto"/>
        <w:ind w:left="705" w:hanging="720"/>
      </w:pPr>
      <w:r>
        <w:rPr>
          <w:i/>
          <w:sz w:val="22"/>
        </w:rPr>
        <w:t>Steph Curry &amp; Fear-Driven Early Sport Specialization</w:t>
      </w:r>
      <w:r>
        <w:rPr>
          <w:sz w:val="22"/>
        </w:rPr>
        <w:t>. (n.d.). Retrieved April 12, 2020, from https://www.breakthroughbasketball.com/articles/specialization-curry.html</w:t>
      </w:r>
    </w:p>
    <w:p w:rsidR="00D452AB" w:rsidRDefault="00043D55">
      <w:pPr>
        <w:spacing w:after="120" w:line="476" w:lineRule="auto"/>
        <w:ind w:left="705" w:hanging="720"/>
      </w:pPr>
      <w:r>
        <w:rPr>
          <w:i/>
          <w:sz w:val="22"/>
        </w:rPr>
        <w:t>Stephen Curr</w:t>
      </w:r>
      <w:r>
        <w:rPr>
          <w:i/>
          <w:sz w:val="22"/>
        </w:rPr>
        <w:t>y Biography</w:t>
      </w:r>
      <w:r>
        <w:rPr>
          <w:sz w:val="22"/>
        </w:rPr>
        <w:t>. (n.d.). ESPN. Retrieved April 12, 2020, from https://www.espn.com/nba/player/bio/_/id/3975/stephen-curry</w:t>
      </w:r>
    </w:p>
    <w:sectPr w:rsidR="00D452AB">
      <w:headerReference w:type="even" r:id="rId12"/>
      <w:headerReference w:type="default" r:id="rId13"/>
      <w:headerReference w:type="first" r:id="rId14"/>
      <w:pgSz w:w="12240" w:h="15840"/>
      <w:pgMar w:top="1190" w:right="1423" w:bottom="1369"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43D55" w:rsidRDefault="00043D55">
      <w:pPr>
        <w:spacing w:after="0" w:line="240" w:lineRule="auto"/>
      </w:pPr>
      <w:r>
        <w:separator/>
      </w:r>
    </w:p>
  </w:endnote>
  <w:endnote w:type="continuationSeparator" w:id="0">
    <w:p w:rsidR="00043D55" w:rsidRDefault="00043D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43D55" w:rsidRDefault="00043D55">
      <w:pPr>
        <w:spacing w:after="0" w:line="240" w:lineRule="auto"/>
      </w:pPr>
      <w:r>
        <w:separator/>
      </w:r>
    </w:p>
  </w:footnote>
  <w:footnote w:type="continuationSeparator" w:id="0">
    <w:p w:rsidR="00043D55" w:rsidRDefault="00043D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452AB" w:rsidRDefault="00043D55">
    <w:pPr>
      <w:spacing w:after="0" w:line="259" w:lineRule="auto"/>
      <w:ind w:left="0" w:right="17" w:firstLine="0"/>
      <w:jc w:val="right"/>
    </w:pPr>
    <w:r>
      <w:rPr>
        <w:noProof/>
      </w:rPr>
      <w:drawing>
        <wp:anchor distT="0" distB="0" distL="114300" distR="114300" simplePos="0" relativeHeight="251658240" behindDoc="0" locked="0" layoutInCell="1" allowOverlap="0">
          <wp:simplePos x="0" y="0"/>
          <wp:positionH relativeFrom="page">
            <wp:posOffset>914400</wp:posOffset>
          </wp:positionH>
          <wp:positionV relativeFrom="page">
            <wp:posOffset>688315</wp:posOffset>
          </wp:positionV>
          <wp:extent cx="5916349" cy="79203"/>
          <wp:effectExtent l="0" t="0" r="0" b="0"/>
          <wp:wrapSquare wrapText="bothSides"/>
          <wp:docPr id="68" name="Picture 68"/>
          <wp:cNvGraphicFramePr/>
          <a:graphic xmlns:a="http://schemas.openxmlformats.org/drawingml/2006/main">
            <a:graphicData uri="http://schemas.openxmlformats.org/drawingml/2006/picture">
              <pic:pic xmlns:pic="http://schemas.openxmlformats.org/drawingml/2006/picture">
                <pic:nvPicPr>
                  <pic:cNvPr id="68" name="Picture 68"/>
                  <pic:cNvPicPr/>
                </pic:nvPicPr>
                <pic:blipFill>
                  <a:blip r:embed="rId1"/>
                  <a:stretch>
                    <a:fillRect/>
                  </a:stretch>
                </pic:blipFill>
                <pic:spPr>
                  <a:xfrm>
                    <a:off x="0" y="0"/>
                    <a:ext cx="5916349" cy="79203"/>
                  </a:xfrm>
                  <a:prstGeom prst="rect">
                    <a:avLst/>
                  </a:prstGeom>
                </pic:spPr>
              </pic:pic>
            </a:graphicData>
          </a:graphic>
        </wp:anchor>
      </w:drawing>
    </w:r>
    <w:r>
      <w:rPr>
        <w:color w:val="000000"/>
      </w:rPr>
      <w:t xml:space="preserve">  </w:t>
    </w:r>
    <w:r>
      <w:fldChar w:fldCharType="begin"/>
    </w:r>
    <w:r>
      <w:instrText xml:space="preserve"> PAGE   \* MERGEFORMAT </w:instrText>
    </w:r>
    <w:r>
      <w:fldChar w:fldCharType="separate"/>
    </w:r>
    <w:r>
      <w:rPr>
        <w:color w:val="000000"/>
      </w:rPr>
      <w:t>2</w:t>
    </w:r>
    <w:r>
      <w:rPr>
        <w:color w:val="000000"/>
      </w:rPr>
      <w:fldChar w:fldCharType="end"/>
    </w:r>
  </w:p>
  <w:p w:rsidR="00D452AB" w:rsidRDefault="00043D55">
    <w:r>
      <w:rPr>
        <w:rFonts w:ascii="Calibri" w:eastAsia="Calibri" w:hAnsi="Calibri" w:cs="Calibri"/>
        <w:noProof/>
        <w:color w:val="000000"/>
        <w:sz w:val="22"/>
      </w:rPr>
      <mc:AlternateContent>
        <mc:Choice Requires="wpg">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1" cy="1"/>
              <wp:effectExtent l="0" t="0" r="0" b="0"/>
              <wp:wrapNone/>
              <wp:docPr id="3710" name="Group 3710"/>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3710"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452AB" w:rsidRDefault="00043D55">
    <w:pPr>
      <w:spacing w:after="0" w:line="259" w:lineRule="auto"/>
      <w:ind w:left="0" w:right="17" w:firstLine="0"/>
      <w:jc w:val="right"/>
    </w:pPr>
    <w:r>
      <w:rPr>
        <w:noProof/>
      </w:rPr>
      <w:drawing>
        <wp:anchor distT="0" distB="0" distL="114300" distR="114300" simplePos="0" relativeHeight="251660288" behindDoc="0" locked="0" layoutInCell="1" allowOverlap="0">
          <wp:simplePos x="0" y="0"/>
          <wp:positionH relativeFrom="page">
            <wp:posOffset>914400</wp:posOffset>
          </wp:positionH>
          <wp:positionV relativeFrom="page">
            <wp:posOffset>688315</wp:posOffset>
          </wp:positionV>
          <wp:extent cx="5916349" cy="79203"/>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68" name="Picture 68"/>
                  <pic:cNvPicPr/>
                </pic:nvPicPr>
                <pic:blipFill>
                  <a:blip r:embed="rId1"/>
                  <a:stretch>
                    <a:fillRect/>
                  </a:stretch>
                </pic:blipFill>
                <pic:spPr>
                  <a:xfrm>
                    <a:off x="0" y="0"/>
                    <a:ext cx="5916349" cy="79203"/>
                  </a:xfrm>
                  <a:prstGeom prst="rect">
                    <a:avLst/>
                  </a:prstGeom>
                </pic:spPr>
              </pic:pic>
            </a:graphicData>
          </a:graphic>
        </wp:anchor>
      </w:drawing>
    </w:r>
    <w:r>
      <w:rPr>
        <w:color w:val="000000"/>
      </w:rPr>
      <w:t xml:space="preserve">  </w:t>
    </w:r>
    <w:r>
      <w:fldChar w:fldCharType="begin"/>
    </w:r>
    <w:r>
      <w:instrText xml:space="preserve"> PAGE   \* MERGEFORMAT </w:instrText>
    </w:r>
    <w:r>
      <w:fldChar w:fldCharType="separate"/>
    </w:r>
    <w:r>
      <w:rPr>
        <w:color w:val="000000"/>
      </w:rPr>
      <w:t>2</w:t>
    </w:r>
    <w:r>
      <w:rPr>
        <w:color w:val="000000"/>
      </w:rPr>
      <w:fldChar w:fldCharType="end"/>
    </w:r>
  </w:p>
  <w:p w:rsidR="00D452AB" w:rsidRDefault="00043D55">
    <w:r>
      <w:rPr>
        <w:rFonts w:ascii="Calibri" w:eastAsia="Calibri" w:hAnsi="Calibri" w:cs="Calibri"/>
        <w:noProof/>
        <w:color w:val="000000"/>
        <w:sz w:val="22"/>
      </w:rPr>
      <mc:AlternateContent>
        <mc:Choice Requires="wpg">
          <w:drawing>
            <wp:anchor distT="0" distB="0" distL="114300" distR="114300" simplePos="0" relativeHeight="251661312" behindDoc="1" locked="0" layoutInCell="1" allowOverlap="1">
              <wp:simplePos x="0" y="0"/>
              <wp:positionH relativeFrom="page">
                <wp:posOffset>0</wp:posOffset>
              </wp:positionH>
              <wp:positionV relativeFrom="page">
                <wp:posOffset>0</wp:posOffset>
              </wp:positionV>
              <wp:extent cx="1" cy="1"/>
              <wp:effectExtent l="0" t="0" r="0" b="0"/>
              <wp:wrapNone/>
              <wp:docPr id="3700" name="Group 3700"/>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3700"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452AB" w:rsidRDefault="00043D55">
    <w:r>
      <w:rPr>
        <w:rFonts w:ascii="Calibri" w:eastAsia="Calibri" w:hAnsi="Calibri" w:cs="Calibri"/>
        <w:noProof/>
        <w:color w:val="000000"/>
        <w:sz w:val="22"/>
      </w:rPr>
      <mc:AlternateContent>
        <mc:Choice Requires="wpg">
          <w:drawing>
            <wp:anchor distT="0" distB="0" distL="114300" distR="114300" simplePos="0" relativeHeight="251662336" behindDoc="1" locked="0" layoutInCell="1" allowOverlap="1">
              <wp:simplePos x="0" y="0"/>
              <wp:positionH relativeFrom="page">
                <wp:posOffset>0</wp:posOffset>
              </wp:positionH>
              <wp:positionV relativeFrom="page">
                <wp:posOffset>0</wp:posOffset>
              </wp:positionV>
              <wp:extent cx="1" cy="1"/>
              <wp:effectExtent l="0" t="0" r="0" b="0"/>
              <wp:wrapNone/>
              <wp:docPr id="3690" name="Group 3690"/>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3690" style="width:7.87402e-05pt;height:7.87402e-05pt;position:absolute;z-index:-2147483648;mso-position-horizontal-relative:page;mso-position-horizontal:absolute;margin-left:0pt;mso-position-vertical-relative:page;margin-top:0pt;" coordsize="0,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E173CA"/>
    <w:multiLevelType w:val="hybridMultilevel"/>
    <w:tmpl w:val="A5B0D6CC"/>
    <w:lvl w:ilvl="0" w:tplc="E2DA624C">
      <w:start w:val="1"/>
      <w:numFmt w:val="bullet"/>
      <w:lvlText w:val="•"/>
      <w:lvlJc w:val="left"/>
      <w:pPr>
        <w:ind w:left="720"/>
      </w:pPr>
      <w:rPr>
        <w:rFonts w:ascii="Arial" w:eastAsia="Arial" w:hAnsi="Arial" w:cs="Arial"/>
        <w:b w:val="0"/>
        <w:i w:val="0"/>
        <w:strike w:val="0"/>
        <w:dstrike w:val="0"/>
        <w:color w:val="695D46"/>
        <w:sz w:val="24"/>
        <w:szCs w:val="24"/>
        <w:u w:val="none" w:color="000000"/>
        <w:bdr w:val="none" w:sz="0" w:space="0" w:color="auto"/>
        <w:shd w:val="clear" w:color="auto" w:fill="auto"/>
        <w:vertAlign w:val="baseline"/>
      </w:rPr>
    </w:lvl>
    <w:lvl w:ilvl="1" w:tplc="5F5A8AE2">
      <w:start w:val="1"/>
      <w:numFmt w:val="bullet"/>
      <w:lvlText w:val="o"/>
      <w:lvlJc w:val="left"/>
      <w:pPr>
        <w:ind w:left="1440"/>
      </w:pPr>
      <w:rPr>
        <w:rFonts w:ascii="Segoe UI Symbol" w:eastAsia="Segoe UI Symbol" w:hAnsi="Segoe UI Symbol" w:cs="Segoe UI Symbol"/>
        <w:b w:val="0"/>
        <w:i w:val="0"/>
        <w:strike w:val="0"/>
        <w:dstrike w:val="0"/>
        <w:color w:val="695D46"/>
        <w:sz w:val="24"/>
        <w:szCs w:val="24"/>
        <w:u w:val="none" w:color="000000"/>
        <w:bdr w:val="none" w:sz="0" w:space="0" w:color="auto"/>
        <w:shd w:val="clear" w:color="auto" w:fill="auto"/>
        <w:vertAlign w:val="baseline"/>
      </w:rPr>
    </w:lvl>
    <w:lvl w:ilvl="2" w:tplc="72BAAABA">
      <w:start w:val="1"/>
      <w:numFmt w:val="bullet"/>
      <w:lvlText w:val="▪"/>
      <w:lvlJc w:val="left"/>
      <w:pPr>
        <w:ind w:left="2160"/>
      </w:pPr>
      <w:rPr>
        <w:rFonts w:ascii="Segoe UI Symbol" w:eastAsia="Segoe UI Symbol" w:hAnsi="Segoe UI Symbol" w:cs="Segoe UI Symbol"/>
        <w:b w:val="0"/>
        <w:i w:val="0"/>
        <w:strike w:val="0"/>
        <w:dstrike w:val="0"/>
        <w:color w:val="695D46"/>
        <w:sz w:val="24"/>
        <w:szCs w:val="24"/>
        <w:u w:val="none" w:color="000000"/>
        <w:bdr w:val="none" w:sz="0" w:space="0" w:color="auto"/>
        <w:shd w:val="clear" w:color="auto" w:fill="auto"/>
        <w:vertAlign w:val="baseline"/>
      </w:rPr>
    </w:lvl>
    <w:lvl w:ilvl="3" w:tplc="5312494E">
      <w:start w:val="1"/>
      <w:numFmt w:val="bullet"/>
      <w:lvlText w:val="•"/>
      <w:lvlJc w:val="left"/>
      <w:pPr>
        <w:ind w:left="2880"/>
      </w:pPr>
      <w:rPr>
        <w:rFonts w:ascii="Arial" w:eastAsia="Arial" w:hAnsi="Arial" w:cs="Arial"/>
        <w:b w:val="0"/>
        <w:i w:val="0"/>
        <w:strike w:val="0"/>
        <w:dstrike w:val="0"/>
        <w:color w:val="695D46"/>
        <w:sz w:val="24"/>
        <w:szCs w:val="24"/>
        <w:u w:val="none" w:color="000000"/>
        <w:bdr w:val="none" w:sz="0" w:space="0" w:color="auto"/>
        <w:shd w:val="clear" w:color="auto" w:fill="auto"/>
        <w:vertAlign w:val="baseline"/>
      </w:rPr>
    </w:lvl>
    <w:lvl w:ilvl="4" w:tplc="C8FE6630">
      <w:start w:val="1"/>
      <w:numFmt w:val="bullet"/>
      <w:lvlText w:val="o"/>
      <w:lvlJc w:val="left"/>
      <w:pPr>
        <w:ind w:left="3600"/>
      </w:pPr>
      <w:rPr>
        <w:rFonts w:ascii="Segoe UI Symbol" w:eastAsia="Segoe UI Symbol" w:hAnsi="Segoe UI Symbol" w:cs="Segoe UI Symbol"/>
        <w:b w:val="0"/>
        <w:i w:val="0"/>
        <w:strike w:val="0"/>
        <w:dstrike w:val="0"/>
        <w:color w:val="695D46"/>
        <w:sz w:val="24"/>
        <w:szCs w:val="24"/>
        <w:u w:val="none" w:color="000000"/>
        <w:bdr w:val="none" w:sz="0" w:space="0" w:color="auto"/>
        <w:shd w:val="clear" w:color="auto" w:fill="auto"/>
        <w:vertAlign w:val="baseline"/>
      </w:rPr>
    </w:lvl>
    <w:lvl w:ilvl="5" w:tplc="B88ED1A8">
      <w:start w:val="1"/>
      <w:numFmt w:val="bullet"/>
      <w:lvlText w:val="▪"/>
      <w:lvlJc w:val="left"/>
      <w:pPr>
        <w:ind w:left="4320"/>
      </w:pPr>
      <w:rPr>
        <w:rFonts w:ascii="Segoe UI Symbol" w:eastAsia="Segoe UI Symbol" w:hAnsi="Segoe UI Symbol" w:cs="Segoe UI Symbol"/>
        <w:b w:val="0"/>
        <w:i w:val="0"/>
        <w:strike w:val="0"/>
        <w:dstrike w:val="0"/>
        <w:color w:val="695D46"/>
        <w:sz w:val="24"/>
        <w:szCs w:val="24"/>
        <w:u w:val="none" w:color="000000"/>
        <w:bdr w:val="none" w:sz="0" w:space="0" w:color="auto"/>
        <w:shd w:val="clear" w:color="auto" w:fill="auto"/>
        <w:vertAlign w:val="baseline"/>
      </w:rPr>
    </w:lvl>
    <w:lvl w:ilvl="6" w:tplc="D5525F50">
      <w:start w:val="1"/>
      <w:numFmt w:val="bullet"/>
      <w:lvlText w:val="•"/>
      <w:lvlJc w:val="left"/>
      <w:pPr>
        <w:ind w:left="5040"/>
      </w:pPr>
      <w:rPr>
        <w:rFonts w:ascii="Arial" w:eastAsia="Arial" w:hAnsi="Arial" w:cs="Arial"/>
        <w:b w:val="0"/>
        <w:i w:val="0"/>
        <w:strike w:val="0"/>
        <w:dstrike w:val="0"/>
        <w:color w:val="695D46"/>
        <w:sz w:val="24"/>
        <w:szCs w:val="24"/>
        <w:u w:val="none" w:color="000000"/>
        <w:bdr w:val="none" w:sz="0" w:space="0" w:color="auto"/>
        <w:shd w:val="clear" w:color="auto" w:fill="auto"/>
        <w:vertAlign w:val="baseline"/>
      </w:rPr>
    </w:lvl>
    <w:lvl w:ilvl="7" w:tplc="161EC7F2">
      <w:start w:val="1"/>
      <w:numFmt w:val="bullet"/>
      <w:lvlText w:val="o"/>
      <w:lvlJc w:val="left"/>
      <w:pPr>
        <w:ind w:left="5760"/>
      </w:pPr>
      <w:rPr>
        <w:rFonts w:ascii="Segoe UI Symbol" w:eastAsia="Segoe UI Symbol" w:hAnsi="Segoe UI Symbol" w:cs="Segoe UI Symbol"/>
        <w:b w:val="0"/>
        <w:i w:val="0"/>
        <w:strike w:val="0"/>
        <w:dstrike w:val="0"/>
        <w:color w:val="695D46"/>
        <w:sz w:val="24"/>
        <w:szCs w:val="24"/>
        <w:u w:val="none" w:color="000000"/>
        <w:bdr w:val="none" w:sz="0" w:space="0" w:color="auto"/>
        <w:shd w:val="clear" w:color="auto" w:fill="auto"/>
        <w:vertAlign w:val="baseline"/>
      </w:rPr>
    </w:lvl>
    <w:lvl w:ilvl="8" w:tplc="3592701A">
      <w:start w:val="1"/>
      <w:numFmt w:val="bullet"/>
      <w:lvlText w:val="▪"/>
      <w:lvlJc w:val="left"/>
      <w:pPr>
        <w:ind w:left="6480"/>
      </w:pPr>
      <w:rPr>
        <w:rFonts w:ascii="Segoe UI Symbol" w:eastAsia="Segoe UI Symbol" w:hAnsi="Segoe UI Symbol" w:cs="Segoe UI Symbol"/>
        <w:b w:val="0"/>
        <w:i w:val="0"/>
        <w:strike w:val="0"/>
        <w:dstrike w:val="0"/>
        <w:color w:val="695D46"/>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2AB"/>
    <w:rsid w:val="00043D55"/>
    <w:rsid w:val="00316FB0"/>
    <w:rsid w:val="0051203F"/>
    <w:rsid w:val="00D45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DEC583"/>
  <w15:docId w15:val="{69A49ADC-4A15-1646-9023-C42C5B913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50" w:line="265" w:lineRule="auto"/>
      <w:ind w:left="10" w:hanging="10"/>
    </w:pPr>
    <w:rPr>
      <w:rFonts w:ascii="Times New Roman" w:eastAsia="Times New Roman" w:hAnsi="Times New Roman" w:cs="Times New Roman"/>
      <w:color w:val="695D46"/>
      <w:lang w:val="en" w:eastAsia="en"/>
    </w:rPr>
  </w:style>
  <w:style w:type="paragraph" w:styleId="Heading1">
    <w:name w:val="heading 1"/>
    <w:next w:val="Normal"/>
    <w:link w:val="Heading1Char"/>
    <w:uiPriority w:val="9"/>
    <w:qFormat/>
    <w:pPr>
      <w:keepNext/>
      <w:keepLines/>
      <w:spacing w:after="366" w:line="265" w:lineRule="auto"/>
      <w:ind w:left="10" w:hanging="10"/>
      <w:outlineLvl w:val="0"/>
    </w:pPr>
    <w:rPr>
      <w:rFonts w:ascii="Times New Roman" w:eastAsia="Times New Roman" w:hAnsi="Times New Roman" w:cs="Times New Roman"/>
      <w:b/>
      <w:color w:val="695D4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695D46"/>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0.jpg"/><Relationship Id="rId4" Type="http://schemas.openxmlformats.org/officeDocument/2006/relationships/webSettings" Target="webSettings.xml"/><Relationship Id="rId9" Type="http://schemas.openxmlformats.org/officeDocument/2006/relationships/image" Target="media/image0.jp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1569</Words>
  <Characters>8949</Characters>
  <Application>Microsoft Office Word</Application>
  <DocSecurity>0</DocSecurity>
  <Lines>74</Lines>
  <Paragraphs>20</Paragraphs>
  <ScaleCrop>false</ScaleCrop>
  <Company/>
  <LinksUpToDate>false</LinksUpToDate>
  <CharactersWithSpaces>10498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Joanna D.</dc:creator>
  <cp:keywords/>
  <cp:lastModifiedBy>Buchanan, Benjamin</cp:lastModifiedBy>
  <cp:revision>2</cp:revision>
  <dcterms:created xsi:type="dcterms:W3CDTF">2020-10-15T16:04:00Z</dcterms:created>
  <dcterms:modified xsi:type="dcterms:W3CDTF">2020-10-15T16:04:00Z</dcterms:modified>
</cp:coreProperties>
</file>